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0" w:rsidRPr="00857C08" w:rsidRDefault="00DD6560" w:rsidP="00DD656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F820FA" w:rsidP="00DD656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DD6560"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DD6560"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F820FA">
        <w:rPr>
          <w:rFonts w:ascii="Arial" w:eastAsia="Times New Roman" w:hAnsi="Arial" w:cs="Arial"/>
          <w:sz w:val="24"/>
          <w:szCs w:val="24"/>
          <w:lang w:eastAsia="ru-RU"/>
        </w:rPr>
        <w:t>Мастюгино</w:t>
      </w:r>
    </w:p>
    <w:p w:rsidR="00EB1891" w:rsidRPr="005C5B25" w:rsidRDefault="00EB1891" w:rsidP="00DD6560">
      <w:pPr>
        <w:spacing w:before="240" w:after="60" w:line="240" w:lineRule="auto"/>
        <w:ind w:firstLine="567"/>
        <w:outlineLvl w:val="0"/>
        <w:rPr>
          <w:rFonts w:ascii="Arial" w:eastAsia="Times New Roman" w:hAnsi="Arial" w:cs="Arial"/>
          <w:bCs/>
          <w:kern w:val="28"/>
          <w:sz w:val="24"/>
          <w:szCs w:val="24"/>
          <w:lang w:eastAsia="ru-RU"/>
        </w:rPr>
      </w:pPr>
      <w:r w:rsidRPr="005C5B25">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5C5B25">
        <w:rPr>
          <w:rFonts w:ascii="Arial" w:eastAsia="Times New Roman" w:hAnsi="Arial" w:cs="Arial"/>
          <w:bCs/>
          <w:kern w:val="28"/>
          <w:sz w:val="24"/>
          <w:szCs w:val="24"/>
          <w:lang w:eastAsia="ru-RU"/>
        </w:rPr>
        <w:t xml:space="preserve"> </w:t>
      </w:r>
      <w:r w:rsidRPr="005C5B25">
        <w:rPr>
          <w:rFonts w:ascii="Arial" w:eastAsia="Times New Roman" w:hAnsi="Arial" w:cs="Arial"/>
          <w:bCs/>
          <w:kern w:val="28"/>
          <w:sz w:val="24"/>
          <w:szCs w:val="24"/>
          <w:lang w:eastAsia="ru-RU"/>
        </w:rPr>
        <w:t xml:space="preserve">на торгах» на территории </w:t>
      </w:r>
      <w:r w:rsidR="00F820FA" w:rsidRPr="005C5B25">
        <w:rPr>
          <w:rFonts w:ascii="Arial" w:eastAsia="Times New Roman" w:hAnsi="Arial" w:cs="Arial"/>
          <w:bCs/>
          <w:kern w:val="28"/>
          <w:sz w:val="24"/>
          <w:szCs w:val="24"/>
          <w:lang w:eastAsia="ru-RU"/>
        </w:rPr>
        <w:t>Мастюгинского</w:t>
      </w:r>
      <w:r w:rsidRPr="005C5B25">
        <w:rPr>
          <w:rFonts w:ascii="Arial" w:eastAsia="Times New Roman" w:hAnsi="Arial" w:cs="Arial"/>
          <w:bCs/>
          <w:kern w:val="28"/>
          <w:sz w:val="24"/>
          <w:szCs w:val="24"/>
          <w:lang w:eastAsia="ru-RU"/>
        </w:rPr>
        <w:t xml:space="preserve"> сельского поселения </w:t>
      </w:r>
      <w:r w:rsidR="00DD6560" w:rsidRPr="005C5B25">
        <w:rPr>
          <w:rFonts w:ascii="Arial" w:eastAsia="Times New Roman" w:hAnsi="Arial" w:cs="Arial"/>
          <w:bCs/>
          <w:kern w:val="28"/>
          <w:sz w:val="24"/>
          <w:szCs w:val="24"/>
          <w:lang w:eastAsia="ru-RU"/>
        </w:rPr>
        <w:t>Острогожского</w:t>
      </w:r>
      <w:r w:rsidRPr="005C5B25">
        <w:rPr>
          <w:rFonts w:ascii="Arial" w:eastAsia="Times New Roman" w:hAnsi="Arial" w:cs="Arial"/>
          <w:bCs/>
          <w:kern w:val="28"/>
          <w:sz w:val="24"/>
          <w:szCs w:val="24"/>
          <w:lang w:eastAsia="ru-RU"/>
        </w:rPr>
        <w:t xml:space="preserve"> муниципального района Воронежской области</w:t>
      </w:r>
    </w:p>
    <w:p w:rsidR="00EB1891" w:rsidRPr="005C5B25"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F820FA">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532382"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532382">
        <w:rPr>
          <w:rFonts w:ascii="Arial" w:eastAsia="Times New Roman" w:hAnsi="Arial" w:cs="Arial"/>
          <w:sz w:val="24"/>
          <w:szCs w:val="24"/>
          <w:lang w:eastAsia="ru-RU"/>
        </w:rPr>
        <w:t xml:space="preserve">- от 14.01.2016 г. № </w:t>
      </w:r>
      <w:r w:rsidR="00F820FA">
        <w:rPr>
          <w:rFonts w:ascii="Arial" w:eastAsia="Times New Roman" w:hAnsi="Arial" w:cs="Arial"/>
          <w:sz w:val="24"/>
          <w:szCs w:val="24"/>
          <w:lang w:eastAsia="ru-RU"/>
        </w:rPr>
        <w:t>9</w:t>
      </w:r>
      <w:r w:rsidR="00EB1891" w:rsidRPr="00532382">
        <w:rPr>
          <w:rFonts w:ascii="Arial" w:eastAsia="Times New Roman" w:hAnsi="Arial" w:cs="Arial"/>
          <w:sz w:val="24"/>
          <w:szCs w:val="24"/>
          <w:lang w:eastAsia="ru-RU"/>
        </w:rPr>
        <w:t xml:space="preserve"> </w:t>
      </w:r>
      <w:r w:rsidR="005C5B25" w:rsidRPr="005C5B25">
        <w:rPr>
          <w:rFonts w:ascii="Arial" w:eastAsia="Times New Roman" w:hAnsi="Arial" w:cs="Arial"/>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5C5B25">
        <w:rPr>
          <w:rFonts w:ascii="Arial" w:eastAsia="Times New Roman" w:hAnsi="Arial" w:cs="Arial"/>
          <w:sz w:val="24"/>
          <w:szCs w:val="24"/>
          <w:lang w:eastAsia="ru-RU"/>
        </w:rPr>
        <w:t>»</w:t>
      </w:r>
      <w:r w:rsidR="00EB1891" w:rsidRPr="00532382">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3. Настоящее постановление вступает в силу со дня его официального о</w:t>
      </w:r>
      <w:r w:rsidR="00F820FA">
        <w:rPr>
          <w:rFonts w:ascii="Arial" w:eastAsia="Calibri" w:hAnsi="Arial" w:cs="Arial"/>
          <w:sz w:val="24"/>
          <w:szCs w:val="24"/>
        </w:rPr>
        <w:t>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w:t>
      </w:r>
      <w:r w:rsidR="00F820FA">
        <w:rPr>
          <w:rFonts w:ascii="Arial" w:eastAsia="Times New Roman" w:hAnsi="Arial" w:cs="Arial"/>
          <w:sz w:val="24"/>
          <w:szCs w:val="24"/>
          <w:lang w:eastAsia="ru-RU"/>
        </w:rPr>
        <w:t>В.С. Грызлов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A74EF5">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 xml:space="preserve">на торгах» на территории </w:t>
      </w:r>
      <w:r w:rsidR="00F820FA">
        <w:rPr>
          <w:rFonts w:ascii="Arial" w:eastAsia="Times New Roman" w:hAnsi="Arial" w:cs="Arial"/>
          <w:iCs/>
          <w:spacing w:val="1"/>
          <w:sz w:val="24"/>
          <w:szCs w:val="24"/>
        </w:rPr>
        <w:t>Мастюгинского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F820FA" w:rsidRPr="00472863" w:rsidRDefault="00DD6560" w:rsidP="00F820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rPr>
        <w:t xml:space="preserve">3.2. </w:t>
      </w:r>
      <w:r w:rsidR="00F820FA" w:rsidRPr="00472863">
        <w:rPr>
          <w:rFonts w:ascii="Arial" w:eastAsia="Times New Roman" w:hAnsi="Arial" w:cs="Arial"/>
          <w:sz w:val="24"/>
          <w:szCs w:val="24"/>
          <w:lang w:eastAsia="ru-RU"/>
        </w:rPr>
        <w:t xml:space="preserve">На официальном сайте Администрации </w:t>
      </w:r>
      <w:r w:rsidR="00F820FA">
        <w:rPr>
          <w:rFonts w:ascii="Arial" w:eastAsia="Times New Roman" w:hAnsi="Arial" w:cs="Arial"/>
          <w:sz w:val="24"/>
          <w:szCs w:val="24"/>
          <w:lang w:eastAsia="ru-RU"/>
        </w:rPr>
        <w:t>Мастюгинского</w:t>
      </w:r>
      <w:r w:rsidR="00F820FA" w:rsidRPr="00472863">
        <w:rPr>
          <w:rFonts w:ascii="Arial" w:eastAsia="Times New Roman" w:hAnsi="Arial" w:cs="Arial"/>
          <w:sz w:val="24"/>
          <w:szCs w:val="24"/>
          <w:lang w:eastAsia="ru-RU"/>
        </w:rPr>
        <w:t xml:space="preserve"> сельского поселения (</w:t>
      </w:r>
      <w:r w:rsidR="00F820FA" w:rsidRPr="00453C24">
        <w:rPr>
          <w:rFonts w:ascii="Arial" w:eastAsia="Times New Roman" w:hAnsi="Arial" w:cs="Arial"/>
          <w:sz w:val="24"/>
          <w:szCs w:val="24"/>
          <w:lang w:eastAsia="ru-RU"/>
        </w:rPr>
        <w:t>https://</w:t>
      </w:r>
      <w:r w:rsidR="00F820FA" w:rsidRPr="00651552">
        <w:rPr>
          <w:rFonts w:ascii="Arial" w:eastAsia="Times New Roman" w:hAnsi="Arial" w:cs="Arial"/>
          <w:sz w:val="24"/>
          <w:szCs w:val="24"/>
          <w:lang w:eastAsia="ru-RU"/>
        </w:rPr>
        <w:t xml:space="preserve"> </w:t>
      </w:r>
      <w:r w:rsidR="00F820FA" w:rsidRPr="00E86EFA">
        <w:rPr>
          <w:rFonts w:ascii="Arial" w:eastAsia="Times New Roman" w:hAnsi="Arial" w:cs="Arial"/>
          <w:sz w:val="24"/>
          <w:szCs w:val="24"/>
          <w:lang w:eastAsia="ru-RU"/>
        </w:rPr>
        <w:t>mastyuginskoe</w:t>
      </w:r>
      <w:r w:rsidR="00F820FA" w:rsidRPr="00453C24">
        <w:rPr>
          <w:rFonts w:ascii="Arial" w:eastAsia="Times New Roman" w:hAnsi="Arial" w:cs="Arial"/>
          <w:sz w:val="24"/>
          <w:szCs w:val="24"/>
          <w:lang w:eastAsia="ru-RU"/>
        </w:rPr>
        <w:t>-r20.gosweb.gosuslugi.ru</w:t>
      </w:r>
      <w:r w:rsidR="00F820FA"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F820FA" w:rsidRPr="00472863">
        <w:rPr>
          <w:rFonts w:ascii="Arial" w:eastAsia="Times New Roman" w:hAnsi="Arial" w:cs="Arial"/>
          <w:sz w:val="24"/>
          <w:szCs w:val="24"/>
          <w:lang w:val="en-US" w:eastAsia="ru-RU"/>
        </w:rPr>
        <w:t>www</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gosuslugi</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ru</w:t>
      </w:r>
      <w:r w:rsidR="00F820FA" w:rsidRPr="00472863">
        <w:rPr>
          <w:rFonts w:ascii="Arial" w:eastAsia="Times New Roman" w:hAnsi="Arial" w:cs="Arial"/>
          <w:spacing w:val="7"/>
          <w:sz w:val="24"/>
          <w:szCs w:val="24"/>
          <w:lang w:eastAsia="ru-RU"/>
        </w:rPr>
        <w:t xml:space="preserve"> (далее – Единый портал, ЕПГУ),</w:t>
      </w:r>
      <w:r w:rsidR="00F820FA"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F820FA" w:rsidRPr="00472863">
        <w:rPr>
          <w:rFonts w:ascii="Arial" w:eastAsia="Times New Roman" w:hAnsi="Arial" w:cs="Arial"/>
          <w:sz w:val="24"/>
          <w:szCs w:val="24"/>
          <w:lang w:val="en-US" w:eastAsia="ru-RU"/>
        </w:rPr>
        <w:t>www</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govvrn</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ru</w:t>
      </w:r>
      <w:r w:rsidR="00F820FA"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820FA" w:rsidRPr="009D2F36"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F820FA" w:rsidRPr="009D2F36"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F820FA" w:rsidRPr="00E86EFA"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EB1891" w:rsidRPr="00EB1891" w:rsidRDefault="00DD6560" w:rsidP="00F820FA">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0"/>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ED6734">
        <w:rPr>
          <w:rFonts w:ascii="Arial" w:eastAsia="Times New Roman" w:hAnsi="Arial" w:cs="Arial"/>
          <w:sz w:val="24"/>
          <w:szCs w:val="24"/>
          <w:lang w:eastAsia="ru-RU"/>
        </w:rPr>
        <w:t>№ 24</w:t>
      </w:r>
      <w:r w:rsidR="001B5476" w:rsidRPr="001B5476">
        <w:rPr>
          <w:rFonts w:ascii="Arial" w:eastAsia="Times New Roman" w:hAnsi="Arial" w:cs="Arial"/>
          <w:sz w:val="24"/>
          <w:szCs w:val="24"/>
          <w:lang w:eastAsia="ru-RU"/>
        </w:rPr>
        <w:t xml:space="preserve">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 w:name="Par0"/>
      <w:bookmarkEnd w:id="1"/>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https://</w:t>
      </w:r>
      <w:r w:rsidR="005C5B25" w:rsidRPr="005C5B25">
        <w:rPr>
          <w:rFonts w:ascii="Arial" w:eastAsia="Times New Roman" w:hAnsi="Arial" w:cs="Arial"/>
          <w:sz w:val="24"/>
          <w:szCs w:val="24"/>
          <w:lang w:eastAsia="ru-RU"/>
        </w:rPr>
        <w:t xml:space="preserve"> </w:t>
      </w:r>
      <w:r w:rsidR="005C5B25" w:rsidRPr="00E86EFA">
        <w:rPr>
          <w:rFonts w:ascii="Arial" w:eastAsia="Times New Roman" w:hAnsi="Arial" w:cs="Arial"/>
          <w:sz w:val="24"/>
          <w:szCs w:val="24"/>
          <w:lang w:eastAsia="ru-RU"/>
        </w:rPr>
        <w:t>mastyuginskoe-r20</w:t>
      </w:r>
      <w:r w:rsidRPr="00DD6560">
        <w:rPr>
          <w:rFonts w:ascii="Arial" w:eastAsia="Times New Roman" w:hAnsi="Arial" w:cs="Arial"/>
          <w:spacing w:val="7"/>
          <w:sz w:val="24"/>
          <w:szCs w:val="24"/>
        </w:rPr>
        <w:t>.gosweb.gosuslugi.ru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2"/>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5C5B25">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3" w:name="Par3"/>
      <w:bookmarkEnd w:id="3"/>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4" w:name="Par6"/>
      <w:bookmarkEnd w:id="4"/>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ED6734">
        <w:rPr>
          <w:rFonts w:ascii="Arial" w:eastAsia="Calibri" w:hAnsi="Arial" w:cs="Arial"/>
          <w:sz w:val="24"/>
          <w:szCs w:val="24"/>
        </w:rPr>
        <w:t xml:space="preserve"> </w:t>
      </w:r>
      <w:r w:rsidRPr="00EB189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5C5B25">
        <w:rPr>
          <w:rFonts w:ascii="Arial" w:eastAsia="Calibri" w:hAnsi="Arial" w:cs="Arial"/>
          <w:sz w:val="24"/>
          <w:szCs w:val="24"/>
        </w:rPr>
        <w:t xml:space="preserve"> </w:t>
      </w:r>
      <w:r w:rsidRPr="00EB1891">
        <w:rPr>
          <w:rFonts w:ascii="Arial" w:eastAsia="Calibri" w:hAnsi="Arial" w:cs="Arial"/>
          <w:sz w:val="24"/>
          <w:szCs w:val="24"/>
        </w:rPr>
        <w:t>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15"/>
      <w:bookmarkEnd w:id="5"/>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6"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6"/>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00ED6734">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820FA">
        <w:rPr>
          <w:rFonts w:ascii="Arial" w:eastAsia="Times New Roman" w:hAnsi="Arial" w:cs="Arial"/>
          <w:spacing w:val="7"/>
          <w:sz w:val="24"/>
          <w:szCs w:val="24"/>
        </w:rPr>
        <w:t>Мастюгинского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F820FA">
        <w:rPr>
          <w:rFonts w:ascii="Arial" w:eastAsia="Times New Roman" w:hAnsi="Arial" w:cs="Arial"/>
          <w:spacing w:val="7"/>
          <w:sz w:val="24"/>
          <w:szCs w:val="24"/>
        </w:rPr>
        <w:t>Мастюгинского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5C5B25">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5C5B25">
        <w:rPr>
          <w:rFonts w:ascii="Arial" w:eastAsia="Times New Roman" w:hAnsi="Arial" w:cs="Arial"/>
          <w:sz w:val="24"/>
          <w:szCs w:val="24"/>
          <w:lang w:eastAsia="ru-RU"/>
        </w:rPr>
        <w:t>Мастюгинского сельского 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7" w:name="p39"/>
      <w:bookmarkEnd w:id="7"/>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43"/>
      <w:bookmarkEnd w:id="8"/>
      <w:r w:rsidRPr="00EB1891">
        <w:rPr>
          <w:rFonts w:ascii="Arial" w:eastAsia="Times New Roman" w:hAnsi="Arial" w:cs="Arial"/>
          <w:sz w:val="24"/>
          <w:szCs w:val="24"/>
          <w:lang w:eastAsia="ru-RU"/>
        </w:rPr>
        <w:t>34. Не позднее 1 рабочего дня, следующего за днем принятия решения, указанного в пункте 32</w:t>
      </w:r>
      <w:r w:rsidR="005C5B25">
        <w:rPr>
          <w:rFonts w:ascii="Arial" w:eastAsia="Times New Roman" w:hAnsi="Arial" w:cs="Arial"/>
          <w:sz w:val="24"/>
          <w:szCs w:val="24"/>
          <w:lang w:eastAsia="ru-RU"/>
        </w:rPr>
        <w:t xml:space="preserve"> </w:t>
      </w:r>
      <w:bookmarkStart w:id="9" w:name="_GoBack"/>
      <w:bookmarkEnd w:id="9"/>
      <w:r w:rsidRPr="00EB189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F820FA">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820FA">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820FA">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820FA">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820FA">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F820F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122" w:rsidRDefault="00900122">
      <w:pPr>
        <w:spacing w:after="0" w:line="240" w:lineRule="auto"/>
      </w:pPr>
      <w:r>
        <w:separator/>
      </w:r>
    </w:p>
  </w:endnote>
  <w:endnote w:type="continuationSeparator" w:id="0">
    <w:p w:rsidR="00900122" w:rsidRDefault="0090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122" w:rsidRDefault="00900122">
      <w:pPr>
        <w:spacing w:after="0" w:line="240" w:lineRule="auto"/>
      </w:pPr>
      <w:r>
        <w:separator/>
      </w:r>
    </w:p>
  </w:footnote>
  <w:footnote w:type="continuationSeparator" w:id="0">
    <w:p w:rsidR="00900122" w:rsidRDefault="00900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05BBB"/>
    <w:rsid w:val="00023AF5"/>
    <w:rsid w:val="0005184D"/>
    <w:rsid w:val="00077D61"/>
    <w:rsid w:val="000831A1"/>
    <w:rsid w:val="000F0CBB"/>
    <w:rsid w:val="001178D5"/>
    <w:rsid w:val="001312E0"/>
    <w:rsid w:val="001B5476"/>
    <w:rsid w:val="001F44E3"/>
    <w:rsid w:val="0021293C"/>
    <w:rsid w:val="00214239"/>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C5B25"/>
    <w:rsid w:val="005D3E36"/>
    <w:rsid w:val="005E6352"/>
    <w:rsid w:val="005E6513"/>
    <w:rsid w:val="0060182E"/>
    <w:rsid w:val="006071FB"/>
    <w:rsid w:val="006133B7"/>
    <w:rsid w:val="00641D96"/>
    <w:rsid w:val="00656491"/>
    <w:rsid w:val="0065712D"/>
    <w:rsid w:val="006759AF"/>
    <w:rsid w:val="006918B6"/>
    <w:rsid w:val="00753448"/>
    <w:rsid w:val="00770795"/>
    <w:rsid w:val="007757EA"/>
    <w:rsid w:val="007C2208"/>
    <w:rsid w:val="00866586"/>
    <w:rsid w:val="00884CAD"/>
    <w:rsid w:val="008A069A"/>
    <w:rsid w:val="008D5103"/>
    <w:rsid w:val="008F3C21"/>
    <w:rsid w:val="00900122"/>
    <w:rsid w:val="009661A0"/>
    <w:rsid w:val="009B3F13"/>
    <w:rsid w:val="009C2EB7"/>
    <w:rsid w:val="009D1223"/>
    <w:rsid w:val="009D7E00"/>
    <w:rsid w:val="009E74F0"/>
    <w:rsid w:val="009F28CD"/>
    <w:rsid w:val="00A05BAD"/>
    <w:rsid w:val="00A51BC4"/>
    <w:rsid w:val="00A74EF5"/>
    <w:rsid w:val="00AC29D9"/>
    <w:rsid w:val="00AD49A5"/>
    <w:rsid w:val="00AE6D6C"/>
    <w:rsid w:val="00AF51A6"/>
    <w:rsid w:val="00B007E6"/>
    <w:rsid w:val="00B47D7F"/>
    <w:rsid w:val="00B62B71"/>
    <w:rsid w:val="00B63548"/>
    <w:rsid w:val="00B64AF0"/>
    <w:rsid w:val="00B70C20"/>
    <w:rsid w:val="00B75F16"/>
    <w:rsid w:val="00BB56A9"/>
    <w:rsid w:val="00BD0926"/>
    <w:rsid w:val="00BD5D30"/>
    <w:rsid w:val="00C14426"/>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ED6734"/>
    <w:rsid w:val="00F23B5D"/>
    <w:rsid w:val="00F248C0"/>
    <w:rsid w:val="00F820FA"/>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52</Pages>
  <Words>19637</Words>
  <Characters>111933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9</cp:revision>
  <dcterms:created xsi:type="dcterms:W3CDTF">2023-10-17T08:13:00Z</dcterms:created>
  <dcterms:modified xsi:type="dcterms:W3CDTF">2023-11-07T13:35:00Z</dcterms:modified>
</cp:coreProperties>
</file>