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9C0AA6" w:rsidP="0099477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99477F" w:rsidRPr="002C43FD">
        <w:rPr>
          <w:rFonts w:ascii="Arial" w:eastAsia="Times New Roman" w:hAnsi="Arial" w:cs="Arial"/>
          <w:sz w:val="24"/>
          <w:szCs w:val="24"/>
          <w:lang w:eastAsia="ru-RU"/>
        </w:rPr>
        <w:t xml:space="preserve">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C63842"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w:t>
      </w:r>
      <w:r w:rsidR="00D908D9">
        <w:rPr>
          <w:rFonts w:ascii="Arial" w:eastAsia="Times New Roman" w:hAnsi="Arial" w:cs="Arial"/>
          <w:sz w:val="24"/>
          <w:szCs w:val="24"/>
          <w:lang w:eastAsia="ru-RU"/>
        </w:rPr>
        <w:t>7</w:t>
      </w:r>
      <w:r w:rsidR="0099477F">
        <w:rPr>
          <w:rFonts w:ascii="Arial" w:eastAsia="Times New Roman" w:hAnsi="Arial" w:cs="Arial"/>
          <w:sz w:val="24"/>
          <w:szCs w:val="24"/>
          <w:lang w:eastAsia="ru-RU"/>
        </w:rPr>
        <w:t>.</w:t>
      </w:r>
      <w:r>
        <w:rPr>
          <w:rFonts w:ascii="Arial" w:eastAsia="Times New Roman" w:hAnsi="Arial" w:cs="Arial"/>
          <w:sz w:val="24"/>
          <w:szCs w:val="24"/>
          <w:lang w:eastAsia="ru-RU"/>
        </w:rPr>
        <w:t>11.</w:t>
      </w:r>
      <w:r w:rsidR="0099477F" w:rsidRPr="002C43FD">
        <w:rPr>
          <w:rFonts w:ascii="Arial" w:eastAsia="Times New Roman" w:hAnsi="Arial" w:cs="Arial"/>
          <w:sz w:val="24"/>
          <w:szCs w:val="24"/>
          <w:lang w:eastAsia="ru-RU"/>
        </w:rPr>
        <w:t>2023</w:t>
      </w:r>
      <w:r w:rsidR="0099477F">
        <w:rPr>
          <w:rFonts w:ascii="Arial" w:eastAsia="Times New Roman" w:hAnsi="Arial" w:cs="Arial"/>
          <w:sz w:val="24"/>
          <w:szCs w:val="24"/>
          <w:lang w:eastAsia="ru-RU"/>
        </w:rPr>
        <w:t xml:space="preserve"> г. № </w:t>
      </w:r>
      <w:r w:rsidR="00D908D9">
        <w:rPr>
          <w:rFonts w:ascii="Arial" w:eastAsia="Times New Roman" w:hAnsi="Arial" w:cs="Arial"/>
          <w:sz w:val="24"/>
          <w:szCs w:val="24"/>
          <w:lang w:eastAsia="ru-RU"/>
        </w:rPr>
        <w:t>6</w:t>
      </w:r>
      <w:r w:rsidR="00C424C4">
        <w:rPr>
          <w:rFonts w:ascii="Arial" w:eastAsia="Times New Roman" w:hAnsi="Arial" w:cs="Arial"/>
          <w:sz w:val="24"/>
          <w:szCs w:val="24"/>
          <w:lang w:eastAsia="ru-RU"/>
        </w:rPr>
        <w:t>7</w:t>
      </w:r>
    </w:p>
    <w:p w:rsidR="0099477F" w:rsidRPr="002C43FD" w:rsidRDefault="0099477F" w:rsidP="0099477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C0AA6">
        <w:rPr>
          <w:rFonts w:ascii="Arial" w:eastAsia="Times New Roman" w:hAnsi="Arial" w:cs="Arial"/>
          <w:sz w:val="24"/>
          <w:szCs w:val="24"/>
          <w:lang w:eastAsia="ru-RU"/>
        </w:rPr>
        <w:t>Мастюгино</w:t>
      </w:r>
    </w:p>
    <w:p w:rsidR="005D1089" w:rsidRPr="008B3770" w:rsidRDefault="005D1089" w:rsidP="0099477F">
      <w:pPr>
        <w:spacing w:before="240" w:after="60" w:line="240" w:lineRule="auto"/>
        <w:ind w:firstLine="567"/>
        <w:outlineLvl w:val="0"/>
        <w:rPr>
          <w:rFonts w:ascii="Arial" w:eastAsia="Times New Roman" w:hAnsi="Arial" w:cs="Arial"/>
          <w:bCs/>
          <w:kern w:val="28"/>
          <w:sz w:val="24"/>
          <w:szCs w:val="24"/>
          <w:lang w:eastAsia="ru-RU"/>
        </w:rPr>
      </w:pPr>
      <w:r w:rsidRPr="008B3770">
        <w:rPr>
          <w:rFonts w:ascii="Arial" w:eastAsia="Times New Roman" w:hAnsi="Arial" w:cs="Arial"/>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9C0AA6" w:rsidRPr="008B3770">
        <w:rPr>
          <w:rFonts w:ascii="Arial" w:eastAsia="Times New Roman" w:hAnsi="Arial" w:cs="Arial"/>
          <w:bCs/>
          <w:kern w:val="28"/>
          <w:sz w:val="24"/>
          <w:szCs w:val="24"/>
          <w:lang w:eastAsia="ru-RU"/>
        </w:rPr>
        <w:t>Мастюгинского</w:t>
      </w:r>
      <w:r w:rsidRPr="008B3770">
        <w:rPr>
          <w:rFonts w:ascii="Arial" w:eastAsia="Times New Roman" w:hAnsi="Arial" w:cs="Arial"/>
          <w:bCs/>
          <w:kern w:val="28"/>
          <w:sz w:val="24"/>
          <w:szCs w:val="24"/>
          <w:lang w:eastAsia="ru-RU"/>
        </w:rPr>
        <w:t xml:space="preserve"> сельского поселения </w:t>
      </w:r>
      <w:r w:rsidR="0099477F" w:rsidRPr="008B3770">
        <w:rPr>
          <w:rFonts w:ascii="Arial" w:eastAsia="Times New Roman" w:hAnsi="Arial" w:cs="Arial"/>
          <w:bCs/>
          <w:kern w:val="28"/>
          <w:sz w:val="24"/>
          <w:szCs w:val="24"/>
          <w:lang w:eastAsia="ru-RU"/>
        </w:rPr>
        <w:t>Острогожского</w:t>
      </w:r>
      <w:r w:rsidRPr="008B3770">
        <w:rPr>
          <w:rFonts w:ascii="Arial" w:eastAsia="Times New Roman" w:hAnsi="Arial" w:cs="Arial"/>
          <w:bCs/>
          <w:kern w:val="28"/>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9F0D59" w:rsidRPr="00C63842" w:rsidRDefault="009C0AA6"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14.01.2016г. № 6</w:t>
      </w:r>
      <w:r w:rsidR="005D1089" w:rsidRPr="005D1089">
        <w:rPr>
          <w:rFonts w:ascii="Arial" w:eastAsia="Times New Roman" w:hAnsi="Arial" w:cs="Arial"/>
          <w:sz w:val="24"/>
          <w:szCs w:val="24"/>
          <w:lang w:eastAsia="ru-RU"/>
        </w:rPr>
        <w:t xml:space="preserve"> </w:t>
      </w:r>
      <w:hyperlink r:id="rId7" w:history="1">
        <w:r w:rsidR="009F0D59" w:rsidRPr="009F0D59">
          <w:rPr>
            <w:rFonts w:ascii="Arial" w:eastAsia="Times New Roman" w:hAnsi="Arial" w:cs="Arial"/>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hyperlink>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 Настоящее постановление вступает в силу со дня его официального о</w:t>
      </w:r>
      <w:r w:rsidR="003553F2">
        <w:rPr>
          <w:rFonts w:ascii="Arial" w:eastAsia="Times New Roman" w:hAnsi="Arial" w:cs="Arial"/>
          <w:sz w:val="24"/>
          <w:szCs w:val="24"/>
          <w:lang w:eastAsia="ru-RU"/>
        </w:rPr>
        <w:t>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bookmarkStart w:id="0" w:name="_GoBack"/>
      <w:bookmarkEnd w:id="0"/>
      <w:r w:rsidR="009C0AA6">
        <w:rPr>
          <w:rFonts w:ascii="Arial" w:eastAsia="Times New Roman" w:hAnsi="Arial" w:cs="Arial"/>
          <w:sz w:val="24"/>
          <w:szCs w:val="24"/>
          <w:lang w:eastAsia="ru-RU"/>
        </w:rPr>
        <w:t>В.С.Грызлов</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9C0AA6"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C63842">
        <w:rPr>
          <w:rFonts w:ascii="Arial" w:eastAsia="Times New Roman" w:hAnsi="Arial" w:cs="Arial"/>
          <w:sz w:val="24"/>
          <w:szCs w:val="24"/>
          <w:lang w:eastAsia="ru-RU"/>
        </w:rPr>
        <w:t>1</w:t>
      </w:r>
      <w:r w:rsidR="00D908D9">
        <w:rPr>
          <w:rFonts w:ascii="Arial" w:eastAsia="Times New Roman" w:hAnsi="Arial" w:cs="Arial"/>
          <w:sz w:val="24"/>
          <w:szCs w:val="24"/>
          <w:lang w:eastAsia="ru-RU"/>
        </w:rPr>
        <w:t>7</w:t>
      </w:r>
      <w:r>
        <w:rPr>
          <w:rFonts w:ascii="Arial" w:eastAsia="Times New Roman" w:hAnsi="Arial" w:cs="Arial"/>
          <w:sz w:val="24"/>
          <w:szCs w:val="24"/>
          <w:lang w:eastAsia="ru-RU"/>
        </w:rPr>
        <w:t>.</w:t>
      </w:r>
      <w:r w:rsidR="00C63842">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C424C4">
        <w:rPr>
          <w:rFonts w:ascii="Arial" w:eastAsia="Times New Roman" w:hAnsi="Arial" w:cs="Arial"/>
          <w:sz w:val="24"/>
          <w:szCs w:val="24"/>
          <w:lang w:eastAsia="ru-RU"/>
        </w:rPr>
        <w:t>67</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9C0AA6">
        <w:rPr>
          <w:rFonts w:ascii="Arial" w:eastAsia="Times New Roman" w:hAnsi="Arial" w:cs="Arial"/>
          <w:iCs/>
          <w:spacing w:val="1"/>
          <w:sz w:val="24"/>
          <w:szCs w:val="24"/>
        </w:rPr>
        <w:t>Мастюгинского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Признаки Заявителя определяются в соответствии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C0AA6">
        <w:rPr>
          <w:rFonts w:ascii="Arial" w:eastAsia="Times New Roman" w:hAnsi="Arial" w:cs="Arial"/>
          <w:sz w:val="24"/>
          <w:szCs w:val="24"/>
          <w:lang w:eastAsia="ru-RU"/>
        </w:rPr>
        <w:t>Мастюгинского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На официальном сайте Администрации </w:t>
      </w:r>
      <w:r w:rsidR="009C0AA6">
        <w:rPr>
          <w:rFonts w:ascii="Arial" w:eastAsia="Times New Roman" w:hAnsi="Arial" w:cs="Arial"/>
          <w:spacing w:val="7"/>
          <w:sz w:val="24"/>
          <w:szCs w:val="24"/>
          <w:lang w:eastAsia="ru-RU"/>
        </w:rPr>
        <w:t>Мастюгинского</w:t>
      </w:r>
      <w:r w:rsidRPr="005D1089">
        <w:rPr>
          <w:rFonts w:ascii="Arial" w:eastAsia="Times New Roman" w:hAnsi="Arial" w:cs="Arial"/>
          <w:spacing w:val="7"/>
          <w:sz w:val="24"/>
          <w:szCs w:val="24"/>
          <w:lang w:eastAsia="ru-RU"/>
        </w:rPr>
        <w:t xml:space="preserve"> сельского поселения (http://</w:t>
      </w:r>
      <w:r w:rsidR="00E12D43" w:rsidRPr="00E86EFA">
        <w:rPr>
          <w:rFonts w:ascii="Arial" w:eastAsia="Times New Roman" w:hAnsi="Arial" w:cs="Arial"/>
          <w:sz w:val="24"/>
          <w:szCs w:val="24"/>
          <w:lang w:eastAsia="ru-RU"/>
        </w:rPr>
        <w:t>mastyuginskoe-r20.gosweb.gosuslugi.ru</w:t>
      </w:r>
      <w:r w:rsidRPr="005D108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gosuslugi</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govvrn</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sidR="009C0AA6">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sidR="009C0AA6">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sidR="009C0AA6">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sidR="009C0AA6">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sidR="009C0AA6">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sidR="009C0AA6">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телефоны Администрации 847375</w:t>
      </w:r>
      <w:r w:rsidR="009C0AA6">
        <w:rPr>
          <w:rFonts w:ascii="Arial" w:eastAsia="Times New Roman" w:hAnsi="Arial" w:cs="Arial"/>
          <w:sz w:val="24"/>
          <w:szCs w:val="24"/>
          <w:lang w:eastAsia="ru-RU"/>
        </w:rPr>
        <w:t>5313</w:t>
      </w:r>
      <w:r w:rsidR="003553F2">
        <w:rPr>
          <w:rFonts w:ascii="Arial" w:eastAsia="Times New Roman" w:hAnsi="Arial" w:cs="Arial"/>
          <w:sz w:val="24"/>
          <w:szCs w:val="24"/>
          <w:lang w:eastAsia="ru-RU"/>
        </w:rPr>
        <w:t>7</w:t>
      </w:r>
      <w:r w:rsidRPr="009D2F36">
        <w:rPr>
          <w:rFonts w:ascii="Arial" w:eastAsia="Times New Roman" w:hAnsi="Arial" w:cs="Arial"/>
          <w:sz w:val="24"/>
          <w:szCs w:val="24"/>
          <w:lang w:eastAsia="ru-RU"/>
        </w:rPr>
        <w:t>;</w:t>
      </w:r>
    </w:p>
    <w:p w:rsidR="005D1089" w:rsidRPr="00E86EFA" w:rsidRDefault="009D2F36" w:rsidP="00E12D43">
      <w:pPr>
        <w:numPr>
          <w:ilvl w:val="0"/>
          <w:numId w:val="21"/>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адреса официального сайта https://</w:t>
      </w:r>
      <w:r w:rsidR="00E86EFA" w:rsidRPr="00E86EFA">
        <w:rPr>
          <w:rFonts w:ascii="Arial" w:eastAsia="Times New Roman" w:hAnsi="Arial" w:cs="Arial"/>
          <w:sz w:val="24"/>
          <w:szCs w:val="24"/>
          <w:lang w:eastAsia="ru-RU"/>
        </w:rPr>
        <w:t>mastyuginskoe-r20.gosweb.gosuslugi.ru</w:t>
      </w:r>
      <w:r w:rsidRPr="00E86EFA">
        <w:rPr>
          <w:rFonts w:ascii="Arial" w:eastAsia="Times New Roman" w:hAnsi="Arial" w:cs="Arial"/>
          <w:sz w:val="24"/>
          <w:szCs w:val="24"/>
          <w:lang w:eastAsia="ru-RU"/>
        </w:rPr>
        <w:t xml:space="preserve">, электронной почты </w:t>
      </w:r>
      <w:r w:rsidR="00E86EFA">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1"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1"/>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9C0AA6">
        <w:rPr>
          <w:rFonts w:ascii="Arial" w:eastAsia="Calibri" w:hAnsi="Arial" w:cs="Arial"/>
          <w:sz w:val="24"/>
          <w:szCs w:val="24"/>
        </w:rPr>
        <w:t>Мастюгинского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Pr="00736EF1">
        <w:rPr>
          <w:rFonts w:ascii="Arial" w:eastAsia="Times New Roman" w:hAnsi="Arial" w:cs="Arial"/>
          <w:sz w:val="24"/>
          <w:szCs w:val="24"/>
          <w:lang w:eastAsia="ru-RU"/>
        </w:rPr>
        <w:t>№</w:t>
      </w:r>
      <w:r w:rsidR="00C1423B" w:rsidRPr="00736EF1">
        <w:rPr>
          <w:rFonts w:ascii="Arial" w:eastAsia="Times New Roman" w:hAnsi="Arial" w:cs="Arial"/>
          <w:sz w:val="24"/>
          <w:szCs w:val="24"/>
          <w:lang w:eastAsia="ru-RU"/>
        </w:rPr>
        <w:t xml:space="preserve"> 2</w:t>
      </w:r>
      <w:r w:rsidR="00736EF1" w:rsidRPr="00736EF1">
        <w:rPr>
          <w:rFonts w:ascii="Arial" w:eastAsia="Times New Roman" w:hAnsi="Arial" w:cs="Arial"/>
          <w:sz w:val="24"/>
          <w:szCs w:val="24"/>
          <w:lang w:eastAsia="ru-RU"/>
        </w:rPr>
        <w:t>4</w:t>
      </w:r>
      <w:r w:rsidR="00C1423B" w:rsidRPr="00736EF1">
        <w:rPr>
          <w:rFonts w:ascii="Arial" w:eastAsia="Times New Roman" w:hAnsi="Arial" w:cs="Arial"/>
          <w:sz w:val="24"/>
          <w:szCs w:val="24"/>
          <w:lang w:eastAsia="ru-RU"/>
        </w:rPr>
        <w:t xml:space="preserve"> от 25</w:t>
      </w:r>
      <w:r w:rsidRPr="00736EF1">
        <w:rPr>
          <w:rFonts w:ascii="Arial" w:eastAsia="Times New Roman" w:hAnsi="Arial" w:cs="Arial"/>
          <w:sz w:val="24"/>
          <w:szCs w:val="24"/>
          <w:lang w:eastAsia="ru-RU"/>
        </w:rPr>
        <w:t xml:space="preserve">.12.2015 г «Об </w:t>
      </w:r>
      <w:r w:rsidRPr="00C1423B">
        <w:rPr>
          <w:rFonts w:ascii="Arial" w:eastAsia="Times New Roman" w:hAnsi="Arial" w:cs="Arial"/>
          <w:sz w:val="24"/>
          <w:szCs w:val="24"/>
          <w:lang w:eastAsia="ru-RU"/>
        </w:rPr>
        <w:t xml:space="preserve">утверждении перечня услуг, которые являются необходимыми и обязательными для предоставления администрацией </w:t>
      </w:r>
      <w:r w:rsidR="009C0AA6">
        <w:rPr>
          <w:rFonts w:ascii="Arial" w:eastAsia="Times New Roman" w:hAnsi="Arial" w:cs="Arial"/>
          <w:sz w:val="24"/>
          <w:szCs w:val="24"/>
          <w:lang w:eastAsia="ru-RU"/>
        </w:rPr>
        <w:t>Мастюгинского</w:t>
      </w:r>
      <w:r w:rsidRPr="00C1423B">
        <w:rPr>
          <w:rFonts w:ascii="Arial" w:eastAsia="Times New Roman" w:hAnsi="Arial" w:cs="Arial"/>
          <w:sz w:val="24"/>
          <w:szCs w:val="24"/>
          <w:lang w:eastAsia="ru-RU"/>
        </w:rPr>
        <w:t xml:space="preserve"> сельского поселения </w:t>
      </w:r>
      <w:r w:rsidR="0099477F" w:rsidRPr="00C1423B">
        <w:rPr>
          <w:rFonts w:ascii="Arial" w:eastAsia="Times New Roman" w:hAnsi="Arial" w:cs="Arial"/>
          <w:sz w:val="24"/>
          <w:szCs w:val="24"/>
          <w:lang w:eastAsia="ru-RU"/>
        </w:rPr>
        <w:t>Острогожского</w:t>
      </w:r>
      <w:r w:rsidRPr="00C1423B">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C1423B">
        <w:rPr>
          <w:rFonts w:ascii="Arial" w:eastAsia="Times New Roman" w:hAnsi="Arial" w:cs="Arial"/>
          <w:sz w:val="24"/>
          <w:szCs w:val="24"/>
          <w:lang w:eastAsia="ru-RU"/>
        </w:rPr>
        <w:t>ставлении муниципальных услуг».</w:t>
      </w:r>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9C0AA6">
        <w:rPr>
          <w:rFonts w:ascii="Arial" w:eastAsia="Calibri" w:hAnsi="Arial" w:cs="Arial"/>
          <w:sz w:val="24"/>
          <w:szCs w:val="24"/>
        </w:rPr>
        <w:t>Мастюгинского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Pr>
          <w:rFonts w:ascii="Arial" w:eastAsia="Calibri" w:hAnsi="Arial" w:cs="Arial"/>
          <w:sz w:val="24"/>
          <w:szCs w:val="24"/>
        </w:rPr>
        <w:t>х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Росреестра от 02.09.2020 № П/0321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иными действующими в данной сфере нормативными правовыми актами.</w:t>
      </w:r>
    </w:p>
    <w:p w:rsidR="005D1089" w:rsidRPr="00736EF1"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736EF1">
        <w:rPr>
          <w:rFonts w:ascii="Arial" w:eastAsia="Times New Roman" w:hAnsi="Arial" w:cs="Arial"/>
          <w:sz w:val="24"/>
          <w:szCs w:val="24"/>
          <w:lang w:eastAsia="ru-RU"/>
        </w:rPr>
        <w:t>http://</w:t>
      </w:r>
      <w:r w:rsidR="00736EF1" w:rsidRPr="00736EF1">
        <w:rPr>
          <w:rFonts w:ascii="Arial" w:eastAsia="Times New Roman" w:hAnsi="Arial" w:cs="Arial"/>
          <w:sz w:val="24"/>
          <w:szCs w:val="24"/>
          <w:lang w:eastAsia="ru-RU"/>
        </w:rPr>
        <w:t xml:space="preserve">mastyuginskoe-r20.gosweb.gosuslugi.ru </w:t>
      </w:r>
      <w:r w:rsidRPr="00736EF1">
        <w:rPr>
          <w:rFonts w:ascii="Arial" w:eastAsia="Times New Roman" w:hAnsi="Arial" w:cs="Arial"/>
          <w:sz w:val="24"/>
          <w:szCs w:val="24"/>
          <w:lang w:eastAsia="ru-RU"/>
        </w:rPr>
        <w:t>/</w:t>
      </w:r>
    </w:p>
    <w:p w:rsidR="005D1089" w:rsidRPr="005D1089" w:rsidRDefault="009D2F36" w:rsidP="009D2F36">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005D1089" w:rsidRPr="005D1089">
        <w:rPr>
          <w:rFonts w:ascii="Arial" w:eastAsia="Calibri" w:hAnsi="Arial" w:cs="Arial"/>
          <w:sz w:val="24"/>
          <w:szCs w:val="24"/>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5D1089">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5D1089">
        <w:rPr>
          <w:rFonts w:ascii="Arial" w:eastAsia="Times New Roman" w:hAnsi="Arial" w:cs="Arial"/>
          <w:sz w:val="24"/>
          <w:szCs w:val="24"/>
          <w:lang w:eastAsia="ru-RU"/>
        </w:rPr>
        <w:lastRenderedPageBreak/>
        <w:t xml:space="preserve">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w:t>
      </w:r>
      <w:r w:rsidRPr="005D1089">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5D1089">
        <w:rPr>
          <w:rFonts w:ascii="Arial" w:eastAsia="Times New Roman" w:hAnsi="Arial" w:cs="Arial"/>
          <w:sz w:val="24"/>
          <w:szCs w:val="24"/>
          <w:lang w:eastAsia="ru-RU"/>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5D1089">
        <w:rPr>
          <w:rFonts w:ascii="Arial" w:eastAsia="Times New Roman" w:hAnsi="Arial" w:cs="Arial"/>
          <w:sz w:val="24"/>
          <w:szCs w:val="24"/>
          <w:lang w:eastAsia="ru-RU"/>
        </w:rPr>
        <w:lastRenderedPageBreak/>
        <w:t xml:space="preserve">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Pr="005D1089">
        <w:rPr>
          <w:rFonts w:ascii="Arial" w:eastAsia="Times New Roman" w:hAnsi="Arial" w:cs="Arial"/>
          <w:sz w:val="24"/>
          <w:szCs w:val="24"/>
          <w:lang w:eastAsia="ru-RU"/>
        </w:rPr>
        <w:lastRenderedPageBreak/>
        <w:t>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5D1089">
        <w:rPr>
          <w:rFonts w:ascii="Arial" w:eastAsia="Times New Roman" w:hAnsi="Arial" w:cs="Arial"/>
          <w:sz w:val="24"/>
          <w:szCs w:val="24"/>
          <w:lang w:eastAsia="ru-RU"/>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sidRPr="005D1089">
        <w:rPr>
          <w:rFonts w:ascii="Arial" w:eastAsia="Times New Roman" w:hAnsi="Arial" w:cs="Arial"/>
          <w:sz w:val="24"/>
          <w:szCs w:val="24"/>
          <w:lang w:eastAsia="ru-RU"/>
        </w:rPr>
        <w:lastRenderedPageBreak/>
        <w:t>капитального строительства полностью за счет средств, полученных в качестве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w:t>
      </w:r>
      <w:r w:rsidRPr="005D1089">
        <w:rPr>
          <w:rFonts w:ascii="Arial" w:eastAsia="Times New Roman" w:hAnsi="Arial" w:cs="Arial"/>
          <w:sz w:val="24"/>
          <w:szCs w:val="24"/>
          <w:lang w:eastAsia="ru-RU"/>
        </w:rPr>
        <w:lastRenderedPageBreak/>
        <w:t>земельным участком, предназначенным для ведения гражданами садоводства или огородничества для собственных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w:t>
      </w:r>
      <w:r w:rsidRPr="005D1089">
        <w:rPr>
          <w:rFonts w:ascii="Arial" w:eastAsia="Times New Roman" w:hAnsi="Arial" w:cs="Arial"/>
          <w:sz w:val="24"/>
          <w:szCs w:val="24"/>
          <w:lang w:eastAsia="ru-RU"/>
        </w:rPr>
        <w:lastRenderedPageBreak/>
        <w:t>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и(или)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10.1.10. Сведения о трудовой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10.1.28. Охотхозяйственное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5D1089">
        <w:rPr>
          <w:rFonts w:ascii="Arial" w:eastAsia="Times New Roman" w:hAnsi="Arial" w:cs="Arial"/>
          <w:sz w:val="24"/>
          <w:szCs w:val="24"/>
          <w:lang w:eastAsia="ru-RU"/>
        </w:rPr>
        <w:lastRenderedPageBreak/>
        <w:t xml:space="preserve">№ 210-ФЗ "Об организации предоставления государственных и муниципальных услуг" перечень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Pr>
          <w:rFonts w:ascii="Arial" w:eastAsia="Times New Roman" w:hAnsi="Arial" w:cs="Arial"/>
          <w:iCs/>
          <w:spacing w:val="1"/>
          <w:sz w:val="24"/>
          <w:szCs w:val="24"/>
        </w:rPr>
        <w:t>ставлении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5D1089">
        <w:rPr>
          <w:rFonts w:ascii="Arial" w:eastAsia="Calibri"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79365A">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D1089">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D1089">
        <w:rPr>
          <w:rFonts w:ascii="Arial" w:eastAsia="Times New Roman" w:hAnsi="Arial" w:cs="Arial"/>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Электронные документы представляются в следующих форматах:</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docx</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odt</w:t>
      </w:r>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w:t>
      </w:r>
      <w:r w:rsidRPr="005D1089">
        <w:rPr>
          <w:rFonts w:ascii="Arial" w:eastAsia="Times New Roman" w:hAnsi="Arial" w:cs="Arial"/>
          <w:sz w:val="24"/>
          <w:szCs w:val="24"/>
          <w:lang w:val="en-US" w:eastAsia="ru-RU"/>
        </w:rPr>
        <w:t>pdf</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png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rar</w:t>
      </w:r>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форматах </w:t>
      </w:r>
      <w:r w:rsidRPr="005D1089">
        <w:rPr>
          <w:rFonts w:ascii="Arial" w:eastAsia="Times New Roman" w:hAnsi="Arial" w:cs="Arial"/>
          <w:sz w:val="24"/>
          <w:szCs w:val="24"/>
          <w:lang w:val="en-US" w:eastAsia="ru-RU"/>
        </w:rPr>
        <w:t>xls</w:t>
      </w:r>
      <w:r w:rsidRPr="005D1089">
        <w:rPr>
          <w:rFonts w:ascii="Arial" w:eastAsia="Times New Roman" w:hAnsi="Arial" w:cs="Arial"/>
          <w:sz w:val="24"/>
          <w:szCs w:val="24"/>
          <w:lang w:eastAsia="ru-RU"/>
        </w:rPr>
        <w:t xml:space="preserve">, </w:t>
      </w:r>
      <w:r w:rsidRPr="005D1089">
        <w:rPr>
          <w:rFonts w:ascii="Arial" w:eastAsia="Arial Unicode MS" w:hAnsi="Arial" w:cs="Arial"/>
          <w:spacing w:val="5"/>
          <w:sz w:val="24"/>
          <w:szCs w:val="24"/>
          <w:lang w:val="en-US" w:eastAsia="ru-RU"/>
        </w:rPr>
        <w:t>xlIsx</w:t>
      </w:r>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r w:rsidRPr="005D1089">
        <w:rPr>
          <w:rFonts w:ascii="Arial" w:eastAsia="Times New Roman" w:hAnsi="Arial" w:cs="Arial"/>
          <w:sz w:val="24"/>
          <w:szCs w:val="24"/>
          <w:lang w:val="en-US" w:eastAsia="ru-RU"/>
        </w:rPr>
        <w:t>ods</w:t>
      </w:r>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не указывается в случае,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5D1089" w:rsidRPr="005D1089">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2"/>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предварительном согласовании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w:t>
      </w:r>
      <w:r w:rsidRPr="005D1089">
        <w:rPr>
          <w:rFonts w:ascii="Arial" w:eastAsia="Calibri" w:hAnsi="Arial" w:cs="Arial"/>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б) в Управлении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5D1089">
        <w:rPr>
          <w:rFonts w:ascii="Arial" w:eastAsia="SimSun" w:hAnsi="Arial" w:cs="Arial"/>
          <w:sz w:val="24"/>
          <w:szCs w:val="24"/>
          <w:lang w:eastAsia="ru-RU"/>
        </w:rPr>
        <w:lastRenderedPageBreak/>
        <w:t xml:space="preserve">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005D1089" w:rsidRPr="005D1089">
        <w:rPr>
          <w:rFonts w:ascii="Arial" w:eastAsia="Calibri" w:hAnsi="Arial" w:cs="Arial"/>
          <w:sz w:val="24"/>
          <w:szCs w:val="24"/>
          <w:lang w:eastAsia="ru-RU"/>
        </w:rPr>
        <w:lastRenderedPageBreak/>
        <w:t>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22.4. </w:t>
      </w:r>
      <w:r w:rsidR="005D1089" w:rsidRPr="005D108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9C0AA6">
        <w:rPr>
          <w:rFonts w:ascii="Arial" w:eastAsia="Times New Roman" w:hAnsi="Arial" w:cs="Arial"/>
          <w:sz w:val="24"/>
          <w:szCs w:val="24"/>
          <w:lang w:eastAsia="ru-RU"/>
        </w:rPr>
        <w:t>Мастюгинского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составляется в произвольной форме </w:t>
      </w:r>
      <w:r w:rsidR="00E1566E">
        <w:rPr>
          <w:rFonts w:ascii="Arial" w:eastAsia="Times New Roman" w:hAnsi="Arial" w:cs="Arial"/>
          <w:sz w:val="24"/>
          <w:szCs w:val="24"/>
          <w:lang w:eastAsia="ru-RU"/>
        </w:rPr>
        <w:t>и направляется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Формы контроля за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5D1089">
        <w:rPr>
          <w:rFonts w:ascii="Arial" w:eastAsia="Times New Roman" w:hAnsi="Arial" w:cs="Arial"/>
          <w:sz w:val="24"/>
          <w:szCs w:val="24"/>
          <w:lang w:eastAsia="ru-RU"/>
        </w:rPr>
        <w:lastRenderedPageBreak/>
        <w:t>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C0AA6">
        <w:rPr>
          <w:rFonts w:ascii="Arial" w:eastAsia="Times New Roman" w:hAnsi="Arial" w:cs="Arial"/>
          <w:sz w:val="24"/>
          <w:szCs w:val="24"/>
          <w:lang w:eastAsia="ru-RU"/>
        </w:rPr>
        <w:t>Мастюгинского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C0AA6">
        <w:rPr>
          <w:rFonts w:ascii="Arial" w:eastAsia="Times New Roman" w:hAnsi="Arial" w:cs="Arial"/>
          <w:spacing w:val="7"/>
          <w:sz w:val="24"/>
          <w:szCs w:val="24"/>
        </w:rPr>
        <w:t>Мастюгинского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lastRenderedPageBreak/>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D1089">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рассмотрении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5D1089">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084D55">
        <w:rPr>
          <w:rFonts w:ascii="Arial" w:eastAsia="Times New Roman" w:hAnsi="Arial" w:cs="Arial"/>
          <w:sz w:val="24"/>
          <w:szCs w:val="24"/>
          <w:lang w:eastAsia="ru-RU"/>
        </w:rPr>
        <w:t>поселения</w:t>
      </w:r>
      <w:r w:rsidRPr="005D1089">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5419BA">
        <w:rPr>
          <w:rFonts w:ascii="Arial" w:eastAsia="Times New Roman" w:hAnsi="Arial" w:cs="Arial"/>
          <w:sz w:val="24"/>
          <w:szCs w:val="24"/>
          <w:lang w:eastAsia="ru-RU"/>
        </w:rPr>
        <w:t>Мастюгинского сельского поселения</w:t>
      </w:r>
      <w:r w:rsidRPr="005D1089">
        <w:rPr>
          <w:rFonts w:ascii="Arial" w:eastAsia="Times New Roman" w:hAnsi="Arial" w:cs="Arial"/>
          <w:sz w:val="24"/>
          <w:szCs w:val="24"/>
          <w:lang w:eastAsia="ru-RU"/>
        </w:rPr>
        <w:t xml:space="preserve"> провод</w:t>
      </w:r>
      <w:r w:rsidR="005419BA">
        <w:rPr>
          <w:rFonts w:ascii="Arial" w:eastAsia="Times New Roman" w:hAnsi="Arial" w:cs="Arial"/>
          <w:sz w:val="24"/>
          <w:szCs w:val="24"/>
          <w:lang w:eastAsia="ru-RU"/>
        </w:rPr>
        <w:t>и</w:t>
      </w:r>
      <w:r w:rsidRPr="005D1089">
        <w:rPr>
          <w:rFonts w:ascii="Arial" w:eastAsia="Times New Roman" w:hAnsi="Arial" w:cs="Arial"/>
          <w:sz w:val="24"/>
          <w:szCs w:val="24"/>
          <w:lang w:eastAsia="ru-RU"/>
        </w:rPr>
        <w:t xml:space="preserve">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39"/>
      <w:bookmarkEnd w:id="3"/>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5D1089">
        <w:rPr>
          <w:rFonts w:ascii="Arial" w:eastAsia="Times New Roman" w:hAnsi="Arial" w:cs="Arial"/>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удовлетворении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4" w:name="p43"/>
      <w:bookmarkEnd w:id="4"/>
      <w:r w:rsidRPr="005D10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8"/>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Pr="005D1089">
        <w:rPr>
          <w:rFonts w:ascii="Arial" w:eastAsia="Times New Roman" w:hAnsi="Arial" w:cs="Arial"/>
          <w:sz w:val="24"/>
          <w:szCs w:val="24"/>
          <w:lang w:eastAsia="ru-RU"/>
        </w:rPr>
        <w:t xml:space="preserve">к Административному регламенту </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Письменный отказ в предоставлении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8D31CB">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8D31CB">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8D31CB">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кадастровым номером ____________, ориентировочной площадью 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основание из числа предусмотренных пунктом 2 статьи 39.3,</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статьей 39.5, пунктом 2 статьи 39.6 или пунктом 2 статьи 39.10 Земельного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изъятии земельного участка для государственных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которого(ых) предусмотрено образование испрашиваемого земельного участка________________________________________________________________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в случае образования испрашиваемого земельного участка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земельного участка (земельных участков) в соответствии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межевания территории, со схемой расположения земельного участка или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проектной документацией лесных участков, в случае, если сведения о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8D31CB">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 Представленные документы и сведения, указанные в заявлении, достоверны.</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2825" w:type="dxa"/>
            <w:tcBorders>
              <w:top w:val="nil"/>
              <w:left w:val="nil"/>
              <w:bottom w:val="nil"/>
              <w:right w:val="nil"/>
            </w:tcBorders>
          </w:tcPr>
          <w:p w:rsidR="005D1089" w:rsidRPr="003553F2"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bookmarkStart w:id="9" w:name="P1552"/>
            <w:bookmarkEnd w:id="9"/>
            <w:r w:rsidRPr="005D108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605"/>
            <w:bookmarkEnd w:id="10"/>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9477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52" w:rsidRDefault="00511E52">
      <w:pPr>
        <w:spacing w:after="0" w:line="240" w:lineRule="auto"/>
      </w:pPr>
      <w:r>
        <w:separator/>
      </w:r>
    </w:p>
  </w:endnote>
  <w:endnote w:type="continuationSeparator" w:id="0">
    <w:p w:rsidR="00511E52" w:rsidRDefault="0051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52" w:rsidRDefault="00511E52">
      <w:pPr>
        <w:spacing w:after="0" w:line="240" w:lineRule="auto"/>
      </w:pPr>
      <w:r>
        <w:separator/>
      </w:r>
    </w:p>
  </w:footnote>
  <w:footnote w:type="continuationSeparator" w:id="0">
    <w:p w:rsidR="00511E52" w:rsidRDefault="00511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5184D"/>
    <w:rsid w:val="00060A20"/>
    <w:rsid w:val="00077D61"/>
    <w:rsid w:val="000831A1"/>
    <w:rsid w:val="00084D55"/>
    <w:rsid w:val="000F0CBB"/>
    <w:rsid w:val="001312E0"/>
    <w:rsid w:val="001F44E3"/>
    <w:rsid w:val="0021293C"/>
    <w:rsid w:val="00214239"/>
    <w:rsid w:val="002702AB"/>
    <w:rsid w:val="002A7B73"/>
    <w:rsid w:val="002D1694"/>
    <w:rsid w:val="003553F2"/>
    <w:rsid w:val="003656FC"/>
    <w:rsid w:val="00374205"/>
    <w:rsid w:val="00392CFF"/>
    <w:rsid w:val="00392F2B"/>
    <w:rsid w:val="003A3180"/>
    <w:rsid w:val="003B183B"/>
    <w:rsid w:val="003B4AB9"/>
    <w:rsid w:val="003B5B48"/>
    <w:rsid w:val="003E7E57"/>
    <w:rsid w:val="0042582F"/>
    <w:rsid w:val="00467874"/>
    <w:rsid w:val="00482FFC"/>
    <w:rsid w:val="004938BF"/>
    <w:rsid w:val="0049669B"/>
    <w:rsid w:val="004B2020"/>
    <w:rsid w:val="004B4195"/>
    <w:rsid w:val="004D049C"/>
    <w:rsid w:val="00511E52"/>
    <w:rsid w:val="005125E6"/>
    <w:rsid w:val="005242A9"/>
    <w:rsid w:val="00532063"/>
    <w:rsid w:val="005419BA"/>
    <w:rsid w:val="00564F9A"/>
    <w:rsid w:val="0057287C"/>
    <w:rsid w:val="005B136D"/>
    <w:rsid w:val="005C497D"/>
    <w:rsid w:val="005D1089"/>
    <w:rsid w:val="005D3E36"/>
    <w:rsid w:val="005E6352"/>
    <w:rsid w:val="005E6513"/>
    <w:rsid w:val="0060182E"/>
    <w:rsid w:val="006071FB"/>
    <w:rsid w:val="006133B7"/>
    <w:rsid w:val="00641D96"/>
    <w:rsid w:val="0065712D"/>
    <w:rsid w:val="006759AF"/>
    <w:rsid w:val="006918B6"/>
    <w:rsid w:val="00736EF1"/>
    <w:rsid w:val="00753448"/>
    <w:rsid w:val="00770795"/>
    <w:rsid w:val="0079365A"/>
    <w:rsid w:val="00797BA5"/>
    <w:rsid w:val="007C2208"/>
    <w:rsid w:val="00866586"/>
    <w:rsid w:val="00884CAD"/>
    <w:rsid w:val="008A069A"/>
    <w:rsid w:val="008B3770"/>
    <w:rsid w:val="008C415E"/>
    <w:rsid w:val="008D31CB"/>
    <w:rsid w:val="008D5103"/>
    <w:rsid w:val="008E0965"/>
    <w:rsid w:val="008F3583"/>
    <w:rsid w:val="008F3C21"/>
    <w:rsid w:val="0095109D"/>
    <w:rsid w:val="009661A0"/>
    <w:rsid w:val="0099477F"/>
    <w:rsid w:val="009A7071"/>
    <w:rsid w:val="009C0AA6"/>
    <w:rsid w:val="009C0F2B"/>
    <w:rsid w:val="009C2EB7"/>
    <w:rsid w:val="009D1223"/>
    <w:rsid w:val="009D2F36"/>
    <w:rsid w:val="009D7E00"/>
    <w:rsid w:val="009E74F0"/>
    <w:rsid w:val="009F0D59"/>
    <w:rsid w:val="009F28CD"/>
    <w:rsid w:val="00A05BAD"/>
    <w:rsid w:val="00A444AA"/>
    <w:rsid w:val="00A51BC4"/>
    <w:rsid w:val="00AC29D9"/>
    <w:rsid w:val="00AD49A5"/>
    <w:rsid w:val="00AE6D6C"/>
    <w:rsid w:val="00AF51A6"/>
    <w:rsid w:val="00AF7DDC"/>
    <w:rsid w:val="00B007E6"/>
    <w:rsid w:val="00B47D7F"/>
    <w:rsid w:val="00B62B71"/>
    <w:rsid w:val="00B63548"/>
    <w:rsid w:val="00B64AF0"/>
    <w:rsid w:val="00B70C20"/>
    <w:rsid w:val="00B75F16"/>
    <w:rsid w:val="00BB56A9"/>
    <w:rsid w:val="00BD5D30"/>
    <w:rsid w:val="00C1423B"/>
    <w:rsid w:val="00C14426"/>
    <w:rsid w:val="00C424C4"/>
    <w:rsid w:val="00C4465B"/>
    <w:rsid w:val="00C63842"/>
    <w:rsid w:val="00CB7CC2"/>
    <w:rsid w:val="00D16C55"/>
    <w:rsid w:val="00D270E6"/>
    <w:rsid w:val="00D309DE"/>
    <w:rsid w:val="00D521E3"/>
    <w:rsid w:val="00D908D9"/>
    <w:rsid w:val="00DA4557"/>
    <w:rsid w:val="00DB252A"/>
    <w:rsid w:val="00DB5C4A"/>
    <w:rsid w:val="00DE2B06"/>
    <w:rsid w:val="00E12D43"/>
    <w:rsid w:val="00E1566E"/>
    <w:rsid w:val="00E52673"/>
    <w:rsid w:val="00E57EBD"/>
    <w:rsid w:val="00E82926"/>
    <w:rsid w:val="00E86EFA"/>
    <w:rsid w:val="00E93AB2"/>
    <w:rsid w:val="00EC3863"/>
    <w:rsid w:val="00F23B5D"/>
    <w:rsid w:val="00F248C0"/>
    <w:rsid w:val="00F32ABF"/>
    <w:rsid w:val="00F9396A"/>
    <w:rsid w:val="00F93C5D"/>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F074-1B8C-4DCF-853D-8E78ADE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act=73a81c88-8be4-47bf-b521-59370b99e5c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22466</Words>
  <Characters>128062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18</cp:revision>
  <dcterms:created xsi:type="dcterms:W3CDTF">2023-10-17T08:08:00Z</dcterms:created>
  <dcterms:modified xsi:type="dcterms:W3CDTF">2023-11-22T08:26:00Z</dcterms:modified>
</cp:coreProperties>
</file>